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32" w:rsidRDefault="009D6132">
      <w:pPr>
        <w:rPr>
          <w:b/>
          <w:bCs/>
          <w:color w:val="000000"/>
          <w:sz w:val="22"/>
          <w:szCs w:val="22"/>
        </w:rPr>
      </w:pPr>
      <w:r>
        <w:rPr>
          <w:rStyle w:val="fontstyle01"/>
        </w:rPr>
        <w:t>NARZĘDZIA CYFROWE W PRACY HUMANISTY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D6132" w:rsidRDefault="009D6132">
      <w:pPr>
        <w:rPr>
          <w:rStyle w:val="fontstyle21"/>
        </w:rPr>
      </w:pPr>
      <w:r>
        <w:rPr>
          <w:rStyle w:val="fontstyle01"/>
        </w:rPr>
        <w:t xml:space="preserve">Prowadzący: </w:t>
      </w:r>
      <w:r w:rsidRPr="009D6132">
        <w:t>prof.</w:t>
      </w:r>
      <w:r>
        <w:rPr>
          <w:rStyle w:val="fontstyle01"/>
        </w:rPr>
        <w:t xml:space="preserve"> </w:t>
      </w:r>
      <w:r>
        <w:rPr>
          <w:rStyle w:val="fontstyle21"/>
        </w:rPr>
        <w:t>dr hab. Tadeusz Piotrowski</w:t>
      </w:r>
    </w:p>
    <w:p w:rsidR="000965C2" w:rsidRPr="000965C2" w:rsidRDefault="000965C2">
      <w:pPr>
        <w:rPr>
          <w:rStyle w:val="fontstyle21"/>
        </w:rPr>
      </w:pPr>
      <w:r>
        <w:rPr>
          <w:rStyle w:val="fontstyle21"/>
          <w:b/>
        </w:rPr>
        <w:t xml:space="preserve">Cel: </w:t>
      </w:r>
      <w:r>
        <w:rPr>
          <w:rStyle w:val="fontstyle21"/>
        </w:rPr>
        <w:t>udostępnienie studen</w:t>
      </w:r>
      <w:r w:rsidR="00BD7393">
        <w:rPr>
          <w:rStyle w:val="fontstyle21"/>
        </w:rPr>
        <w:t>tom narzędzi ułatwiających pracę</w:t>
      </w:r>
      <w:r>
        <w:rPr>
          <w:rStyle w:val="fontstyle21"/>
        </w:rPr>
        <w:t xml:space="preserve"> naukową</w:t>
      </w:r>
    </w:p>
    <w:p w:rsidR="009D6132" w:rsidRDefault="009D6132">
      <w:pPr>
        <w:rPr>
          <w:bCs/>
          <w:color w:val="000000"/>
          <w:sz w:val="22"/>
          <w:szCs w:val="22"/>
        </w:rPr>
      </w:pPr>
      <w:r>
        <w:rPr>
          <w:rStyle w:val="fontstyle01"/>
        </w:rPr>
        <w:t>Treści:</w:t>
      </w:r>
      <w:r>
        <w:rPr>
          <w:b/>
          <w:bCs/>
          <w:color w:val="000000"/>
          <w:sz w:val="22"/>
          <w:szCs w:val="22"/>
        </w:rPr>
        <w:t xml:space="preserve"> </w:t>
      </w:r>
      <w:r w:rsidRPr="009D6132">
        <w:rPr>
          <w:bCs/>
          <w:color w:val="000000"/>
          <w:sz w:val="22"/>
          <w:szCs w:val="22"/>
        </w:rPr>
        <w:t>Zajęcia mają na celu</w:t>
      </w:r>
      <w:r>
        <w:rPr>
          <w:b/>
          <w:bCs/>
          <w:color w:val="000000"/>
          <w:sz w:val="22"/>
          <w:szCs w:val="22"/>
        </w:rPr>
        <w:t xml:space="preserve"> </w:t>
      </w:r>
      <w:r w:rsidRPr="009D6132">
        <w:rPr>
          <w:bCs/>
          <w:color w:val="000000"/>
          <w:sz w:val="22"/>
          <w:szCs w:val="22"/>
        </w:rPr>
        <w:t xml:space="preserve">zaznajomienie </w:t>
      </w:r>
      <w:r>
        <w:rPr>
          <w:bCs/>
          <w:color w:val="000000"/>
          <w:sz w:val="22"/>
          <w:szCs w:val="22"/>
        </w:rPr>
        <w:t xml:space="preserve">studentów z konkretnymi narzędziami cyfrowymi (oprogramowaniem), a także metodami pracy z takimi narzędziami, w pracy humanisty, zwłaszcza językoznawcy i literaturoznawcy. </w:t>
      </w:r>
      <w:r w:rsidR="000965C2">
        <w:rPr>
          <w:bCs/>
          <w:color w:val="000000"/>
          <w:sz w:val="22"/>
          <w:szCs w:val="22"/>
        </w:rPr>
        <w:t xml:space="preserve">Zajęcia nie mają być przeznaczone tylko dla językoznawców. </w:t>
      </w:r>
      <w:r>
        <w:rPr>
          <w:bCs/>
          <w:color w:val="000000"/>
          <w:sz w:val="22"/>
          <w:szCs w:val="22"/>
        </w:rPr>
        <w:t xml:space="preserve">Zależnie od przygotowania studentów, które określimy na pierwszym spotkaniu, zajęcia będą miały różną zawartość, mogą służyć do wprowadzenia przede wszystkim zaawansowanych narzędzi użytecznych do przygotowania tekstów naukowych oraz bibliografii, a także narzędzi wykorzystywanych w analizie danych, przede wszystkim natury filologicznej, </w:t>
      </w:r>
      <w:r w:rsidR="00BD7393">
        <w:rPr>
          <w:bCs/>
          <w:color w:val="000000"/>
          <w:sz w:val="22"/>
          <w:szCs w:val="22"/>
        </w:rPr>
        <w:t xml:space="preserve">aż </w:t>
      </w:r>
      <w:r>
        <w:rPr>
          <w:bCs/>
          <w:color w:val="000000"/>
          <w:sz w:val="22"/>
          <w:szCs w:val="22"/>
        </w:rPr>
        <w:t>do zaawansowanych aplikacji, przygotowanych przez samych studentów.</w:t>
      </w:r>
    </w:p>
    <w:p w:rsidR="009D6132" w:rsidRPr="000965C2" w:rsidRDefault="009D6132">
      <w:pPr>
        <w:rPr>
          <w:bCs/>
          <w:i/>
          <w:color w:val="000000"/>
          <w:sz w:val="22"/>
          <w:szCs w:val="22"/>
        </w:rPr>
      </w:pPr>
      <w:r w:rsidRPr="000965C2">
        <w:rPr>
          <w:bCs/>
          <w:i/>
          <w:color w:val="000000"/>
          <w:sz w:val="22"/>
          <w:szCs w:val="22"/>
        </w:rPr>
        <w:t>Przykładowe zagadnienia związane z pierwszą grupą zagadnień – przygotowanie tekstu naukowego:</w:t>
      </w:r>
    </w:p>
    <w:p w:rsidR="009D6132" w:rsidRDefault="009D613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użycie edytorów tekstu i arkuszy kalkulacyjnych do tworzenia przypisów, tytułów, spisów treści, indeksów, wykresów, tabel</w:t>
      </w:r>
      <w:r w:rsidR="000965C2">
        <w:rPr>
          <w:bCs/>
          <w:color w:val="000000"/>
          <w:sz w:val="22"/>
          <w:szCs w:val="22"/>
        </w:rPr>
        <w:t>, etc.</w:t>
      </w:r>
    </w:p>
    <w:p w:rsidR="009D6132" w:rsidRDefault="009D613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sporządzanie bibliografii w bazach danych </w:t>
      </w:r>
      <w:r w:rsidR="000965C2">
        <w:rPr>
          <w:bCs/>
          <w:color w:val="000000"/>
          <w:sz w:val="22"/>
          <w:szCs w:val="22"/>
        </w:rPr>
        <w:t xml:space="preserve">i automatyzacja odniesień referencyjnych </w:t>
      </w:r>
      <w:r>
        <w:rPr>
          <w:bCs/>
          <w:color w:val="000000"/>
          <w:sz w:val="22"/>
          <w:szCs w:val="22"/>
        </w:rPr>
        <w:t xml:space="preserve">(użycie edytorów tekstów, wyspecjalizowanych programów w rodzaju </w:t>
      </w:r>
      <w:proofErr w:type="spellStart"/>
      <w:r>
        <w:rPr>
          <w:bCs/>
          <w:color w:val="000000"/>
          <w:sz w:val="22"/>
          <w:szCs w:val="22"/>
        </w:rPr>
        <w:t>Zotero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JebRef</w:t>
      </w:r>
      <w:proofErr w:type="spellEnd"/>
      <w:r>
        <w:rPr>
          <w:bCs/>
          <w:color w:val="000000"/>
          <w:sz w:val="22"/>
          <w:szCs w:val="22"/>
        </w:rPr>
        <w:t>, i innych)</w:t>
      </w:r>
    </w:p>
    <w:p w:rsidR="000965C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manipulacja testem (użycie znajdź/zamień przy wykorzystaniu znaczników, wyrażeń regularnych)</w:t>
      </w:r>
    </w:p>
    <w:p w:rsidR="000965C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automatyzacja pracy (makropolecenia)</w:t>
      </w:r>
    </w:p>
    <w:p w:rsidR="000965C2" w:rsidRPr="000965C2" w:rsidRDefault="000965C2" w:rsidP="000965C2">
      <w:pPr>
        <w:rPr>
          <w:bCs/>
          <w:i/>
          <w:color w:val="000000"/>
          <w:sz w:val="22"/>
          <w:szCs w:val="22"/>
        </w:rPr>
      </w:pPr>
      <w:r w:rsidRPr="000965C2">
        <w:rPr>
          <w:bCs/>
          <w:i/>
          <w:color w:val="000000"/>
          <w:sz w:val="22"/>
          <w:szCs w:val="22"/>
        </w:rPr>
        <w:t xml:space="preserve">Przykładowe zagadnienia związane z </w:t>
      </w:r>
      <w:r>
        <w:rPr>
          <w:bCs/>
          <w:i/>
          <w:color w:val="000000"/>
          <w:sz w:val="22"/>
          <w:szCs w:val="22"/>
        </w:rPr>
        <w:t>drugą</w:t>
      </w:r>
      <w:r w:rsidRPr="000965C2">
        <w:rPr>
          <w:bCs/>
          <w:i/>
          <w:color w:val="000000"/>
          <w:sz w:val="22"/>
          <w:szCs w:val="22"/>
        </w:rPr>
        <w:t xml:space="preserve"> grupą zagadnień – </w:t>
      </w:r>
      <w:r>
        <w:rPr>
          <w:bCs/>
          <w:i/>
          <w:color w:val="000000"/>
          <w:sz w:val="22"/>
          <w:szCs w:val="22"/>
        </w:rPr>
        <w:t>analiza danych językowych</w:t>
      </w:r>
      <w:r w:rsidRPr="000965C2">
        <w:rPr>
          <w:bCs/>
          <w:i/>
          <w:color w:val="000000"/>
          <w:sz w:val="22"/>
          <w:szCs w:val="22"/>
        </w:rPr>
        <w:t>:</w:t>
      </w:r>
    </w:p>
    <w:p w:rsidR="000965C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dane językowe, podstawowe wiadomości (reprezentacja znaków językowych, reprezentacja i znakowanie tekstu)</w:t>
      </w:r>
    </w:p>
    <w:p w:rsidR="000965C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podstawowe umiejętności (konwersja znaków, przetwarzanie ciągów znaków, wyrażenia naturalne) </w:t>
      </w:r>
    </w:p>
    <w:p w:rsidR="000965C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korpusy języka (różnych języków, będących przedmiotem zainteresowania studentów; analiza korpusu, frekwencja jednostek języka lub jednostek tekstu, listy frekwencyjne, wyrazy kluczowe, konkordancje, współwystępowanie jednostek )</w:t>
      </w:r>
    </w:p>
    <w:p w:rsidR="000965C2" w:rsidRPr="009D6132" w:rsidRDefault="000965C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podstawowe narzędzia (</w:t>
      </w:r>
      <w:r w:rsidR="00BD7393">
        <w:rPr>
          <w:bCs/>
          <w:color w:val="000000"/>
          <w:sz w:val="22"/>
          <w:szCs w:val="22"/>
        </w:rPr>
        <w:t>do analizy tekstu, do analizy dzieł literackich)</w:t>
      </w:r>
    </w:p>
    <w:p w:rsidR="009D6132" w:rsidRPr="00BD7393" w:rsidRDefault="009D6132">
      <w:pPr>
        <w:rPr>
          <w:b/>
          <w:bCs/>
          <w:color w:val="000000"/>
          <w:sz w:val="22"/>
          <w:szCs w:val="22"/>
        </w:rPr>
      </w:pPr>
      <w:r w:rsidRPr="00BD7393">
        <w:rPr>
          <w:rStyle w:val="fontstyle01"/>
        </w:rPr>
        <w:t>Przykładowe narzędzia</w:t>
      </w:r>
      <w:r w:rsidR="00BD7393" w:rsidRPr="00BD7393">
        <w:rPr>
          <w:rStyle w:val="fontstyle01"/>
        </w:rPr>
        <w:t xml:space="preserve"> (</w:t>
      </w:r>
      <w:r w:rsidR="00BD7393" w:rsidRPr="00BD7393">
        <w:rPr>
          <w:rStyle w:val="fontstyle01"/>
          <w:b w:val="0"/>
        </w:rPr>
        <w:t>wszystkie darmowe, nie obciążające komputera użytkownika)</w:t>
      </w:r>
      <w:r w:rsidRPr="00BD7393">
        <w:rPr>
          <w:rStyle w:val="fontstyle01"/>
        </w:rPr>
        <w:t>:</w:t>
      </w:r>
      <w:r w:rsidRPr="00BD7393">
        <w:rPr>
          <w:b/>
          <w:bCs/>
          <w:color w:val="000000"/>
          <w:sz w:val="22"/>
          <w:szCs w:val="22"/>
        </w:rPr>
        <w:t xml:space="preserve"> </w:t>
      </w:r>
    </w:p>
    <w:p w:rsidR="00BD7393" w:rsidRPr="00BD7393" w:rsidRDefault="00BD7393">
      <w:pPr>
        <w:rPr>
          <w:bCs/>
          <w:color w:val="000000"/>
          <w:sz w:val="22"/>
          <w:szCs w:val="22"/>
          <w:lang w:val="en-GB"/>
        </w:rPr>
      </w:pPr>
      <w:r w:rsidRPr="00BD7393">
        <w:rPr>
          <w:bCs/>
          <w:color w:val="000000"/>
          <w:sz w:val="22"/>
          <w:szCs w:val="22"/>
          <w:lang w:val="en-GB"/>
        </w:rPr>
        <w:t>portable applications: https://portableapps.com/apps</w:t>
      </w:r>
    </w:p>
    <w:p w:rsidR="00BD7393" w:rsidRDefault="00BD7393">
      <w:pPr>
        <w:rPr>
          <w:bCs/>
          <w:color w:val="000000"/>
          <w:sz w:val="22"/>
          <w:szCs w:val="22"/>
        </w:rPr>
      </w:pPr>
      <w:r w:rsidRPr="00BD7393">
        <w:rPr>
          <w:bCs/>
          <w:color w:val="000000"/>
          <w:sz w:val="22"/>
          <w:szCs w:val="22"/>
        </w:rPr>
        <w:t xml:space="preserve">narzędzia Clarin, </w:t>
      </w:r>
    </w:p>
    <w:p w:rsidR="00BD7393" w:rsidRDefault="00BD7393" w:rsidP="00BD7393">
      <w:pPr>
        <w:ind w:left="708"/>
        <w:rPr>
          <w:bCs/>
          <w:color w:val="000000"/>
          <w:sz w:val="22"/>
          <w:szCs w:val="22"/>
        </w:rPr>
      </w:pPr>
      <w:r w:rsidRPr="00BD7393">
        <w:rPr>
          <w:bCs/>
          <w:color w:val="000000"/>
          <w:sz w:val="22"/>
          <w:szCs w:val="22"/>
        </w:rPr>
        <w:t>polskie http://clarin-pl.eu/pl/strona-glowna/</w:t>
      </w:r>
      <w:r>
        <w:rPr>
          <w:bCs/>
          <w:color w:val="000000"/>
          <w:sz w:val="22"/>
          <w:szCs w:val="22"/>
        </w:rPr>
        <w:t xml:space="preserve">, </w:t>
      </w:r>
    </w:p>
    <w:p w:rsidR="00BD7393" w:rsidRPr="00BD7393" w:rsidRDefault="00BD7393" w:rsidP="00BD7393">
      <w:pPr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inne języki </w:t>
      </w:r>
      <w:r w:rsidRPr="00BD7393">
        <w:rPr>
          <w:bCs/>
          <w:color w:val="000000"/>
          <w:sz w:val="22"/>
          <w:szCs w:val="22"/>
        </w:rPr>
        <w:t>https://www.clarin.eu/content/web-services</w:t>
      </w:r>
    </w:p>
    <w:p w:rsidR="000965C2" w:rsidRDefault="009D6132">
      <w:pPr>
        <w:rPr>
          <w:b/>
          <w:bCs/>
          <w:color w:val="000000"/>
          <w:sz w:val="22"/>
          <w:szCs w:val="22"/>
        </w:rPr>
      </w:pPr>
      <w:r>
        <w:rPr>
          <w:rStyle w:val="fontstyle01"/>
        </w:rPr>
        <w:t>Warunki zaliczenia: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0965C2" w:rsidRDefault="000965C2">
      <w:pPr>
        <w:rPr>
          <w:color w:val="000000"/>
          <w:sz w:val="22"/>
          <w:szCs w:val="22"/>
        </w:rPr>
      </w:pPr>
      <w:r>
        <w:rPr>
          <w:rStyle w:val="fontstyle21"/>
        </w:rPr>
        <w:softHyphen/>
        <w:t xml:space="preserve"> </w:t>
      </w:r>
      <w:r w:rsidR="009D6132">
        <w:rPr>
          <w:rStyle w:val="fontstyle21"/>
        </w:rPr>
        <w:t>obecność na zajęciach,</w:t>
      </w:r>
      <w:r w:rsidR="009D6132">
        <w:rPr>
          <w:color w:val="000000"/>
          <w:sz w:val="22"/>
          <w:szCs w:val="22"/>
        </w:rPr>
        <w:t xml:space="preserve"> </w:t>
      </w:r>
    </w:p>
    <w:p w:rsidR="000965C2" w:rsidRDefault="000965C2">
      <w:pPr>
        <w:rPr>
          <w:color w:val="000000"/>
          <w:sz w:val="22"/>
          <w:szCs w:val="22"/>
        </w:rPr>
      </w:pPr>
      <w:r>
        <w:rPr>
          <w:rStyle w:val="fontstyle21"/>
        </w:rPr>
        <w:softHyphen/>
      </w:r>
      <w:r w:rsidR="009D6132">
        <w:rPr>
          <w:rStyle w:val="fontstyle21"/>
        </w:rPr>
        <w:t xml:space="preserve"> aktywny udział w zajęciach,</w:t>
      </w:r>
      <w:r w:rsidR="009D6132">
        <w:rPr>
          <w:color w:val="000000"/>
          <w:sz w:val="22"/>
          <w:szCs w:val="22"/>
        </w:rPr>
        <w:t xml:space="preserve"> </w:t>
      </w:r>
    </w:p>
    <w:p w:rsidR="00E840BE" w:rsidRDefault="000965C2">
      <w:pPr>
        <w:rPr>
          <w:rStyle w:val="fontstyle21"/>
        </w:rPr>
      </w:pPr>
      <w:r>
        <w:rPr>
          <w:color w:val="000000"/>
          <w:sz w:val="22"/>
          <w:szCs w:val="22"/>
        </w:rPr>
        <w:softHyphen/>
      </w:r>
      <w:r w:rsidR="009D6132">
        <w:rPr>
          <w:rStyle w:val="fontstyle21"/>
        </w:rPr>
        <w:t xml:space="preserve"> pisemna praca semestralna (zespołowa; w wyjątkowych, uzasadnionych przypadkach- indywidualna)</w:t>
      </w:r>
      <w:r w:rsidR="009D6132">
        <w:rPr>
          <w:color w:val="000000"/>
          <w:sz w:val="22"/>
          <w:szCs w:val="22"/>
        </w:rPr>
        <w:t xml:space="preserve"> </w:t>
      </w:r>
      <w:r>
        <w:rPr>
          <w:rStyle w:val="fontstyle21"/>
        </w:rPr>
        <w:t>dotycząca wybranych</w:t>
      </w:r>
      <w:r w:rsidR="009D6132">
        <w:rPr>
          <w:rStyle w:val="fontstyle21"/>
        </w:rPr>
        <w:t xml:space="preserve"> </w:t>
      </w:r>
      <w:r>
        <w:rPr>
          <w:rStyle w:val="fontstyle21"/>
        </w:rPr>
        <w:t>narzędzi językowych</w:t>
      </w:r>
    </w:p>
    <w:p w:rsidR="003622C6" w:rsidRDefault="003622C6" w:rsidP="003622C6">
      <w:pPr>
        <w:rPr>
          <w:rStyle w:val="fontstyle21"/>
          <w:b/>
        </w:rPr>
      </w:pPr>
      <w:r w:rsidRPr="00D67C20">
        <w:rPr>
          <w:rStyle w:val="fontstyle21"/>
          <w:b/>
        </w:rPr>
        <w:t>Literatura</w:t>
      </w:r>
      <w:r>
        <w:rPr>
          <w:rStyle w:val="fontstyle21"/>
          <w:b/>
        </w:rPr>
        <w:t xml:space="preserve"> i zasoby</w:t>
      </w:r>
    </w:p>
    <w:p w:rsidR="003622C6" w:rsidRPr="00D67C20" w:rsidRDefault="003622C6" w:rsidP="003622C6">
      <w:pPr>
        <w:ind w:firstLine="0"/>
        <w:rPr>
          <w:sz w:val="22"/>
        </w:rPr>
      </w:pPr>
      <w:r w:rsidRPr="00D67C20">
        <w:rPr>
          <w:i/>
          <w:sz w:val="22"/>
        </w:rPr>
        <w:t>Centrum Technologii Językowych</w:t>
      </w:r>
      <w:r w:rsidRPr="00D67C20">
        <w:rPr>
          <w:sz w:val="22"/>
        </w:rPr>
        <w:t xml:space="preserve"> (http://clarin-pl.eu)</w:t>
      </w:r>
    </w:p>
    <w:p w:rsidR="003622C6" w:rsidRPr="00D67C20" w:rsidRDefault="003622C6" w:rsidP="003622C6">
      <w:pPr>
        <w:ind w:left="709" w:hanging="709"/>
        <w:rPr>
          <w:rFonts w:ascii="Times-Roman" w:hAnsi="Times-Roman"/>
          <w:color w:val="000000"/>
          <w:sz w:val="22"/>
          <w:lang w:val="en-GB"/>
        </w:rPr>
      </w:pPr>
      <w:r w:rsidRPr="00D67C20">
        <w:rPr>
          <w:rFonts w:ascii="Times-Roman" w:hAnsi="Times-Roman"/>
          <w:i/>
          <w:color w:val="000000"/>
          <w:sz w:val="22"/>
          <w:lang w:val="en-GB"/>
        </w:rPr>
        <w:t>Digital Humanities: Getting Started</w:t>
      </w:r>
      <w:r w:rsidRPr="00D67C20">
        <w:rPr>
          <w:rFonts w:ascii="Times-Roman" w:hAnsi="Times-Roman"/>
          <w:color w:val="000000"/>
          <w:sz w:val="22"/>
          <w:lang w:val="en-GB"/>
        </w:rPr>
        <w:t xml:space="preserve"> (https://guides.lib.ku.edu/digitalhumanities)</w:t>
      </w:r>
    </w:p>
    <w:p w:rsidR="003622C6" w:rsidRPr="00D67C20" w:rsidRDefault="003622C6" w:rsidP="003622C6">
      <w:pPr>
        <w:ind w:left="709" w:hanging="709"/>
        <w:rPr>
          <w:sz w:val="22"/>
          <w:lang w:val="en-GB"/>
        </w:rPr>
      </w:pPr>
      <w:r w:rsidRPr="00D67C20">
        <w:rPr>
          <w:sz w:val="22"/>
        </w:rPr>
        <w:t xml:space="preserve">Górski, Rafał L, Barbara Lewandowska-Tomaszczyk, Mirosław Bańko, Piotr </w:t>
      </w:r>
      <w:proofErr w:type="spellStart"/>
      <w:r w:rsidRPr="00D67C20">
        <w:rPr>
          <w:sz w:val="22"/>
        </w:rPr>
        <w:t>Pęzik</w:t>
      </w:r>
      <w:proofErr w:type="spellEnd"/>
      <w:r w:rsidRPr="00D67C20">
        <w:rPr>
          <w:sz w:val="22"/>
        </w:rPr>
        <w:t xml:space="preserve">, Marek Łaziński, and Adam </w:t>
      </w:r>
      <w:proofErr w:type="spellStart"/>
      <w:r w:rsidRPr="00D67C20">
        <w:rPr>
          <w:sz w:val="22"/>
        </w:rPr>
        <w:t>Przepiórkowski</w:t>
      </w:r>
      <w:proofErr w:type="spellEnd"/>
      <w:r w:rsidRPr="00D67C20">
        <w:rPr>
          <w:sz w:val="22"/>
        </w:rPr>
        <w:t xml:space="preserve">. </w:t>
      </w:r>
      <w:r w:rsidRPr="00D67C20">
        <w:rPr>
          <w:sz w:val="22"/>
          <w:lang w:val="en-GB"/>
        </w:rPr>
        <w:t xml:space="preserve">Practical applications of the National Corpus of Polish. </w:t>
      </w:r>
      <w:proofErr w:type="spellStart"/>
      <w:r w:rsidRPr="00D67C20">
        <w:rPr>
          <w:i/>
          <w:sz w:val="22"/>
          <w:lang w:val="en-GB"/>
        </w:rPr>
        <w:t>Prace</w:t>
      </w:r>
      <w:proofErr w:type="spellEnd"/>
      <w:r w:rsidRPr="00D67C20">
        <w:rPr>
          <w:i/>
          <w:sz w:val="22"/>
          <w:lang w:val="en-GB"/>
        </w:rPr>
        <w:t xml:space="preserve"> </w:t>
      </w:r>
      <w:proofErr w:type="spellStart"/>
      <w:r w:rsidRPr="00D67C20">
        <w:rPr>
          <w:i/>
          <w:sz w:val="22"/>
          <w:lang w:val="en-GB"/>
        </w:rPr>
        <w:t>Filologiczne</w:t>
      </w:r>
      <w:proofErr w:type="spellEnd"/>
      <w:r w:rsidRPr="00D67C20">
        <w:rPr>
          <w:sz w:val="22"/>
          <w:lang w:val="en-GB"/>
        </w:rPr>
        <w:t xml:space="preserve">, LXIII:231–240, 2012. </w:t>
      </w:r>
    </w:p>
    <w:p w:rsidR="003622C6" w:rsidRPr="00D67C20" w:rsidRDefault="003622C6" w:rsidP="003622C6">
      <w:pPr>
        <w:ind w:left="709" w:hanging="709"/>
        <w:rPr>
          <w:sz w:val="22"/>
        </w:rPr>
      </w:pPr>
      <w:r w:rsidRPr="00D67C20">
        <w:rPr>
          <w:rStyle w:val="fontstyle01"/>
          <w:sz w:val="20"/>
        </w:rPr>
        <w:t xml:space="preserve">Lewandowska-Tomaszczyk, B. (2004). </w:t>
      </w:r>
      <w:r w:rsidRPr="00D67C20">
        <w:rPr>
          <w:rStyle w:val="fontstyle21"/>
          <w:sz w:val="20"/>
        </w:rPr>
        <w:t>Podstawy j</w:t>
      </w:r>
      <w:r w:rsidRPr="00D67C20">
        <w:rPr>
          <w:rStyle w:val="fontstyle31"/>
          <w:sz w:val="20"/>
        </w:rPr>
        <w:t>ę</w:t>
      </w:r>
      <w:r w:rsidRPr="00D67C20">
        <w:rPr>
          <w:rStyle w:val="fontstyle21"/>
          <w:sz w:val="20"/>
        </w:rPr>
        <w:t xml:space="preserve">zykoznawstwa korpusowego. </w:t>
      </w:r>
      <w:r w:rsidRPr="00D67C20">
        <w:rPr>
          <w:rStyle w:val="fontstyle01"/>
          <w:sz w:val="20"/>
        </w:rPr>
        <w:t>Łód</w:t>
      </w:r>
      <w:r w:rsidRPr="00D67C20">
        <w:rPr>
          <w:rStyle w:val="fontstyle41"/>
          <w:sz w:val="22"/>
        </w:rPr>
        <w:t>ź</w:t>
      </w:r>
      <w:r w:rsidRPr="00D67C20">
        <w:rPr>
          <w:rStyle w:val="fontstyle01"/>
          <w:sz w:val="20"/>
        </w:rPr>
        <w:t>: Wydawnictwo Uniwersytetu Łódzkiego.</w:t>
      </w:r>
      <w:r w:rsidRPr="00D67C20">
        <w:rPr>
          <w:sz w:val="22"/>
        </w:rPr>
        <w:t xml:space="preserve"> </w:t>
      </w:r>
    </w:p>
    <w:p w:rsidR="003622C6" w:rsidRPr="00D67C20" w:rsidRDefault="003622C6" w:rsidP="003622C6">
      <w:pPr>
        <w:ind w:left="709" w:hanging="709"/>
        <w:rPr>
          <w:sz w:val="22"/>
        </w:rPr>
      </w:pPr>
      <w:r w:rsidRPr="00D67C20">
        <w:rPr>
          <w:rFonts w:ascii="Times-Roman" w:hAnsi="Times-Roman"/>
          <w:i/>
          <w:color w:val="000000"/>
          <w:sz w:val="22"/>
        </w:rPr>
        <w:t>Narodowy Korpus J</w:t>
      </w:r>
      <w:r w:rsidRPr="00D67C20">
        <w:rPr>
          <w:rFonts w:ascii="TimesNewRoman" w:hAnsi="TimesNewRoman"/>
          <w:i/>
          <w:color w:val="000000"/>
          <w:sz w:val="22"/>
        </w:rPr>
        <w:t>ę</w:t>
      </w:r>
      <w:r w:rsidRPr="00D67C20">
        <w:rPr>
          <w:rFonts w:ascii="Times-Roman" w:hAnsi="Times-Roman"/>
          <w:i/>
          <w:color w:val="000000"/>
          <w:sz w:val="22"/>
        </w:rPr>
        <w:t>zyka Polskiego</w:t>
      </w:r>
      <w:r w:rsidRPr="00D67C20">
        <w:rPr>
          <w:rFonts w:ascii="Times-Roman" w:hAnsi="Times-Roman"/>
          <w:color w:val="000000"/>
          <w:sz w:val="22"/>
        </w:rPr>
        <w:t xml:space="preserve"> - NKJP www.nkjp.pl</w:t>
      </w:r>
      <w:r w:rsidRPr="00D67C20">
        <w:rPr>
          <w:sz w:val="22"/>
        </w:rPr>
        <w:t xml:space="preserve"> </w:t>
      </w:r>
    </w:p>
    <w:p w:rsidR="003622C6" w:rsidRPr="00D67C20" w:rsidRDefault="003622C6" w:rsidP="003622C6">
      <w:pPr>
        <w:ind w:left="709" w:hanging="709"/>
        <w:rPr>
          <w:sz w:val="22"/>
        </w:rPr>
      </w:pPr>
      <w:proofErr w:type="spellStart"/>
      <w:r w:rsidRPr="00D67C20">
        <w:rPr>
          <w:sz w:val="22"/>
        </w:rPr>
        <w:t>Przepiórkowski</w:t>
      </w:r>
      <w:proofErr w:type="spellEnd"/>
      <w:r w:rsidRPr="00D67C20">
        <w:rPr>
          <w:sz w:val="22"/>
        </w:rPr>
        <w:t xml:space="preserve">, Adam, Mirosław Bańko, Rafał L. Górski, and Barbara Lewandowska-Tomaszczyk, </w:t>
      </w:r>
      <w:proofErr w:type="spellStart"/>
      <w:r w:rsidRPr="00D67C20">
        <w:rPr>
          <w:sz w:val="22"/>
        </w:rPr>
        <w:t>editors</w:t>
      </w:r>
      <w:proofErr w:type="spellEnd"/>
      <w:r w:rsidRPr="00D67C20">
        <w:rPr>
          <w:sz w:val="22"/>
        </w:rPr>
        <w:t xml:space="preserve">. </w:t>
      </w:r>
      <w:r w:rsidRPr="00D67C20">
        <w:rPr>
          <w:i/>
          <w:sz w:val="22"/>
        </w:rPr>
        <w:t>Narodowy Korpus Języka Polskiego</w:t>
      </w:r>
      <w:r w:rsidRPr="00D67C20">
        <w:rPr>
          <w:sz w:val="22"/>
        </w:rPr>
        <w:t xml:space="preserve">. Wydawnictwo Naukowe PWN, </w:t>
      </w:r>
      <w:proofErr w:type="spellStart"/>
      <w:r w:rsidRPr="00D67C20">
        <w:rPr>
          <w:sz w:val="22"/>
        </w:rPr>
        <w:t>Warsaw</w:t>
      </w:r>
      <w:proofErr w:type="spellEnd"/>
      <w:r w:rsidRPr="00D67C20">
        <w:rPr>
          <w:sz w:val="22"/>
        </w:rPr>
        <w:t>, 2012.(http://nkjp.pl/settings/papers/NKJP_ksiazka.pdf)</w:t>
      </w:r>
    </w:p>
    <w:p w:rsidR="003622C6" w:rsidRPr="00D67C20" w:rsidRDefault="003622C6" w:rsidP="003622C6">
      <w:pPr>
        <w:ind w:left="709" w:hanging="709"/>
        <w:rPr>
          <w:sz w:val="22"/>
          <w:lang w:val="en-GB"/>
        </w:rPr>
      </w:pPr>
      <w:proofErr w:type="spellStart"/>
      <w:r w:rsidRPr="00D67C20">
        <w:rPr>
          <w:sz w:val="22"/>
        </w:rPr>
        <w:t>Przepiórkowski</w:t>
      </w:r>
      <w:proofErr w:type="spellEnd"/>
      <w:r w:rsidRPr="00D67C20">
        <w:rPr>
          <w:sz w:val="22"/>
        </w:rPr>
        <w:t xml:space="preserve">. Adam, Inżynieria lingwistyczna a obecna sytuacja językoznawstwa polskiego. </w:t>
      </w:r>
      <w:proofErr w:type="spellStart"/>
      <w:r w:rsidRPr="00D67C20">
        <w:rPr>
          <w:i/>
          <w:sz w:val="22"/>
          <w:lang w:val="en-GB"/>
        </w:rPr>
        <w:t>LingVaria</w:t>
      </w:r>
      <w:proofErr w:type="spellEnd"/>
      <w:r w:rsidRPr="00D67C20">
        <w:rPr>
          <w:i/>
          <w:sz w:val="22"/>
          <w:lang w:val="en-GB"/>
        </w:rPr>
        <w:t>,</w:t>
      </w:r>
      <w:r w:rsidRPr="00D67C20">
        <w:rPr>
          <w:sz w:val="22"/>
          <w:lang w:val="en-GB"/>
        </w:rPr>
        <w:t xml:space="preserve"> X(2):135–145, 2015 (http://nlp.ipipan.waw.pl/Bib/prze:15b.pdf)</w:t>
      </w:r>
    </w:p>
    <w:p w:rsidR="003622C6" w:rsidRPr="00D67C20" w:rsidRDefault="003622C6" w:rsidP="003622C6">
      <w:pPr>
        <w:ind w:left="709" w:hanging="709"/>
        <w:rPr>
          <w:rFonts w:ascii="Times-Roman" w:hAnsi="Times-Roman"/>
          <w:color w:val="000000"/>
          <w:sz w:val="22"/>
          <w:lang w:val="en-GB"/>
        </w:rPr>
      </w:pPr>
      <w:r w:rsidRPr="00D67C20">
        <w:rPr>
          <w:rFonts w:ascii="Times-Roman" w:hAnsi="Times-Roman"/>
          <w:i/>
          <w:color w:val="000000"/>
          <w:sz w:val="22"/>
          <w:lang w:val="en-GB"/>
        </w:rPr>
        <w:t>Tools and Services for Digital Humanities</w:t>
      </w:r>
      <w:r w:rsidRPr="00D67C20">
        <w:rPr>
          <w:rFonts w:ascii="Times-Roman" w:hAnsi="Times-Roman"/>
          <w:color w:val="000000"/>
          <w:sz w:val="22"/>
          <w:lang w:val="en-GB"/>
        </w:rPr>
        <w:t xml:space="preserve"> (https://www.dariah.eu/tools-services/tools-and-services/)</w:t>
      </w:r>
    </w:p>
    <w:p w:rsidR="003622C6" w:rsidRDefault="003622C6">
      <w:bookmarkStart w:id="0" w:name="_GoBack"/>
      <w:bookmarkEnd w:id="0"/>
    </w:p>
    <w:sectPr w:rsidR="003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32"/>
    <w:rsid w:val="000965C2"/>
    <w:rsid w:val="003622C6"/>
    <w:rsid w:val="006B197D"/>
    <w:rsid w:val="008635BD"/>
    <w:rsid w:val="009D6132"/>
    <w:rsid w:val="00BD7393"/>
    <w:rsid w:val="00CB3A94"/>
    <w:rsid w:val="00E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B197D"/>
    <w:pPr>
      <w:spacing w:after="200" w:line="276" w:lineRule="auto"/>
      <w:ind w:firstLine="0"/>
      <w:jc w:val="left"/>
    </w:pPr>
    <w:rPr>
      <w:rFonts w:eastAsia="Calibri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97D"/>
    <w:rPr>
      <w:rFonts w:eastAsia="Calibri"/>
      <w:sz w:val="20"/>
      <w:szCs w:val="20"/>
      <w:lang w:val="ru-RU"/>
    </w:rPr>
  </w:style>
  <w:style w:type="character" w:customStyle="1" w:styleId="fontstyle01">
    <w:name w:val="fontstyle01"/>
    <w:basedOn w:val="Domylnaczcionkaakapitu"/>
    <w:rsid w:val="009D613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D61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D613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622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B197D"/>
    <w:pPr>
      <w:spacing w:after="200" w:line="276" w:lineRule="auto"/>
      <w:ind w:firstLine="0"/>
      <w:jc w:val="left"/>
    </w:pPr>
    <w:rPr>
      <w:rFonts w:eastAsia="Calibri"/>
      <w:sz w:val="20"/>
      <w:szCs w:val="20"/>
      <w:lang w:val="ru-RU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97D"/>
    <w:rPr>
      <w:rFonts w:eastAsia="Calibri"/>
      <w:sz w:val="20"/>
      <w:szCs w:val="20"/>
      <w:lang w:val="ru-RU"/>
    </w:rPr>
  </w:style>
  <w:style w:type="character" w:customStyle="1" w:styleId="fontstyle01">
    <w:name w:val="fontstyle01"/>
    <w:basedOn w:val="Domylnaczcionkaakapitu"/>
    <w:rsid w:val="009D613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D61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D613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622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2018-07-01T07:23:00Z</dcterms:created>
  <dcterms:modified xsi:type="dcterms:W3CDTF">2018-09-11T09:45:00Z</dcterms:modified>
</cp:coreProperties>
</file>